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CBCEC" w14:textId="77777777" w:rsidR="009D26E3" w:rsidRPr="00C91D2F" w:rsidRDefault="0065306F" w:rsidP="009D26E3">
      <w:pPr>
        <w:spacing w:after="0"/>
        <w:rPr>
          <w:rFonts w:asciiTheme="majorHAnsi" w:hAnsiTheme="majorHAnsi" w:cstheme="majorHAnsi"/>
          <w:sz w:val="32"/>
          <w:szCs w:val="32"/>
        </w:rPr>
      </w:pPr>
      <w:r w:rsidRPr="00C91D2F">
        <w:rPr>
          <w:rFonts w:asciiTheme="majorHAnsi" w:hAnsiTheme="majorHAnsi" w:cstheme="majorHAnsi"/>
          <w:sz w:val="32"/>
          <w:szCs w:val="32"/>
        </w:rPr>
        <w:t>P r e s s e m i t t e i l u n g</w:t>
      </w:r>
    </w:p>
    <w:p w14:paraId="40B8830D" w14:textId="77777777" w:rsidR="00031885" w:rsidRPr="00C91D2F" w:rsidRDefault="00031885">
      <w:pPr>
        <w:rPr>
          <w:rFonts w:asciiTheme="majorHAnsi" w:hAnsiTheme="majorHAnsi" w:cstheme="majorHAnsi"/>
          <w:sz w:val="22"/>
          <w:szCs w:val="22"/>
        </w:rPr>
      </w:pPr>
    </w:p>
    <w:p w14:paraId="018850FC" w14:textId="77777777" w:rsidR="00916CFE" w:rsidRPr="00C91D2F" w:rsidRDefault="00C369CF" w:rsidP="00916CFE">
      <w:pPr>
        <w:tabs>
          <w:tab w:val="left" w:pos="4395"/>
          <w:tab w:val="left" w:pos="9781"/>
        </w:tabs>
        <w:spacing w:after="0"/>
        <w:ind w:right="-853"/>
        <w:outlineLvl w:val="0"/>
        <w:rPr>
          <w:rFonts w:asciiTheme="majorHAnsi" w:eastAsia="Times New Roman" w:hAnsiTheme="majorHAnsi" w:cstheme="majorHAnsi"/>
          <w:b/>
          <w:szCs w:val="20"/>
          <w:u w:val="single"/>
          <w:lang w:eastAsia="de-DE"/>
        </w:rPr>
      </w:pPr>
      <w:r>
        <w:rPr>
          <w:rFonts w:asciiTheme="majorHAnsi" w:eastAsia="Times New Roman" w:hAnsiTheme="majorHAnsi" w:cstheme="majorHAnsi"/>
          <w:b/>
          <w:szCs w:val="20"/>
          <w:u w:val="single"/>
          <w:lang w:eastAsia="de-DE"/>
        </w:rPr>
        <w:t>DKG zum DKI</w:t>
      </w:r>
      <w:r w:rsidR="00044B0A">
        <w:rPr>
          <w:rFonts w:asciiTheme="majorHAnsi" w:eastAsia="Times New Roman" w:hAnsiTheme="majorHAnsi" w:cstheme="majorHAnsi"/>
          <w:b/>
          <w:szCs w:val="20"/>
          <w:u w:val="single"/>
          <w:lang w:eastAsia="de-DE"/>
        </w:rPr>
        <w:t>-</w:t>
      </w:r>
      <w:r>
        <w:rPr>
          <w:rFonts w:asciiTheme="majorHAnsi" w:eastAsia="Times New Roman" w:hAnsiTheme="majorHAnsi" w:cstheme="majorHAnsi"/>
          <w:b/>
          <w:szCs w:val="20"/>
          <w:u w:val="single"/>
          <w:lang w:eastAsia="de-DE"/>
        </w:rPr>
        <w:t>Krankenhaus</w:t>
      </w:r>
      <w:r w:rsidR="00044B0A">
        <w:rPr>
          <w:rFonts w:asciiTheme="majorHAnsi" w:eastAsia="Times New Roman" w:hAnsiTheme="majorHAnsi" w:cstheme="majorHAnsi"/>
          <w:b/>
          <w:szCs w:val="20"/>
          <w:u w:val="single"/>
          <w:lang w:eastAsia="de-DE"/>
        </w:rPr>
        <w:t>-</w:t>
      </w:r>
      <w:r>
        <w:rPr>
          <w:rFonts w:asciiTheme="majorHAnsi" w:eastAsia="Times New Roman" w:hAnsiTheme="majorHAnsi" w:cstheme="majorHAnsi"/>
          <w:b/>
          <w:szCs w:val="20"/>
          <w:u w:val="single"/>
          <w:lang w:eastAsia="de-DE"/>
        </w:rPr>
        <w:t>Index</w:t>
      </w:r>
    </w:p>
    <w:p w14:paraId="65977D0E" w14:textId="77777777" w:rsidR="00C369CF" w:rsidRDefault="00C369CF" w:rsidP="00C369CF">
      <w:pPr>
        <w:tabs>
          <w:tab w:val="left" w:pos="4395"/>
          <w:tab w:val="left" w:pos="9781"/>
        </w:tabs>
        <w:spacing w:after="0"/>
        <w:ind w:right="-853"/>
        <w:outlineLvl w:val="0"/>
        <w:rPr>
          <w:rFonts w:asciiTheme="majorHAnsi" w:hAnsiTheme="majorHAnsi" w:cstheme="majorHAnsi"/>
          <w:b/>
          <w:bCs/>
          <w:sz w:val="32"/>
          <w:szCs w:val="32"/>
        </w:rPr>
      </w:pPr>
    </w:p>
    <w:p w14:paraId="49253DB0" w14:textId="77777777" w:rsidR="00BD16F3" w:rsidRDefault="008E358B" w:rsidP="00F61EC1">
      <w:pPr>
        <w:tabs>
          <w:tab w:val="left" w:pos="4395"/>
          <w:tab w:val="left" w:pos="9781"/>
        </w:tabs>
        <w:spacing w:after="0"/>
        <w:ind w:right="-853"/>
        <w:outlineLvl w:val="0"/>
        <w:rPr>
          <w:rFonts w:asciiTheme="majorHAnsi" w:hAnsiTheme="majorHAnsi" w:cstheme="majorHAnsi"/>
          <w:b/>
          <w:bCs/>
          <w:sz w:val="32"/>
          <w:szCs w:val="32"/>
        </w:rPr>
      </w:pPr>
      <w:r>
        <w:rPr>
          <w:rFonts w:asciiTheme="majorHAnsi" w:hAnsiTheme="majorHAnsi" w:cstheme="majorHAnsi"/>
          <w:b/>
          <w:bCs/>
          <w:sz w:val="32"/>
          <w:szCs w:val="32"/>
        </w:rPr>
        <w:t xml:space="preserve">Ohne Änderung am KHVVG droht ein Bürokratieaufwuchs </w:t>
      </w:r>
    </w:p>
    <w:p w14:paraId="09620698" w14:textId="1875BD8F" w:rsidR="00C369CF" w:rsidRPr="00C369CF" w:rsidRDefault="008E358B" w:rsidP="00F61EC1">
      <w:pPr>
        <w:tabs>
          <w:tab w:val="left" w:pos="4395"/>
          <w:tab w:val="left" w:pos="9781"/>
        </w:tabs>
        <w:spacing w:after="0"/>
        <w:ind w:right="-853"/>
        <w:outlineLvl w:val="0"/>
        <w:rPr>
          <w:rFonts w:asciiTheme="majorHAnsi" w:hAnsiTheme="majorHAnsi" w:cstheme="majorHAnsi"/>
          <w:b/>
          <w:bCs/>
          <w:sz w:val="32"/>
          <w:szCs w:val="32"/>
        </w:rPr>
      </w:pPr>
      <w:r>
        <w:rPr>
          <w:rFonts w:asciiTheme="majorHAnsi" w:hAnsiTheme="majorHAnsi" w:cstheme="majorHAnsi"/>
          <w:b/>
          <w:bCs/>
          <w:sz w:val="32"/>
          <w:szCs w:val="32"/>
        </w:rPr>
        <w:t>ohne</w:t>
      </w:r>
      <w:r w:rsidR="0087120C">
        <w:rPr>
          <w:rFonts w:asciiTheme="majorHAnsi" w:hAnsiTheme="majorHAnsi" w:cstheme="majorHAnsi"/>
          <w:b/>
          <w:bCs/>
          <w:sz w:val="32"/>
          <w:szCs w:val="32"/>
        </w:rPr>
        <w:t>g</w:t>
      </w:r>
      <w:r>
        <w:rPr>
          <w:rFonts w:asciiTheme="majorHAnsi" w:hAnsiTheme="majorHAnsi" w:cstheme="majorHAnsi"/>
          <w:b/>
          <w:bCs/>
          <w:sz w:val="32"/>
          <w:szCs w:val="32"/>
        </w:rPr>
        <w:t>leichen – über 5.000 Stellen zusätzlich werden gebraucht</w:t>
      </w:r>
    </w:p>
    <w:p w14:paraId="10A3B00A" w14:textId="387AC60F" w:rsidR="001962FD" w:rsidRPr="00C91D2F" w:rsidRDefault="001962FD" w:rsidP="00FE46A1">
      <w:pPr>
        <w:tabs>
          <w:tab w:val="left" w:pos="4395"/>
          <w:tab w:val="left" w:pos="9781"/>
        </w:tabs>
        <w:spacing w:after="0"/>
        <w:ind w:right="-853"/>
        <w:outlineLvl w:val="0"/>
        <w:rPr>
          <w:rFonts w:asciiTheme="majorHAnsi" w:eastAsia="Times New Roman" w:hAnsiTheme="majorHAnsi" w:cstheme="majorHAnsi"/>
          <w:b/>
          <w:szCs w:val="20"/>
          <w:u w:val="single"/>
          <w:lang w:eastAsia="de-DE"/>
        </w:rPr>
      </w:pPr>
    </w:p>
    <w:p w14:paraId="72A539A9" w14:textId="5AC30446" w:rsidR="00C369CF" w:rsidRPr="00C369CF" w:rsidRDefault="00C369CF" w:rsidP="00C369CF">
      <w:pPr>
        <w:tabs>
          <w:tab w:val="left" w:pos="7797"/>
        </w:tabs>
        <w:spacing w:line="340" w:lineRule="exact"/>
        <w:ind w:right="2410"/>
        <w:jc w:val="both"/>
        <w:rPr>
          <w:rFonts w:ascii="Calibri" w:eastAsia="Times New Roman" w:hAnsi="Calibri" w:cs="Calibri"/>
          <w:bCs/>
          <w:lang w:eastAsia="de-DE"/>
        </w:rPr>
      </w:pPr>
      <w:r w:rsidRPr="00C369CF">
        <w:rPr>
          <w:rFonts w:ascii="Calibri" w:eastAsia="Times New Roman" w:hAnsi="Calibri" w:cs="Calibri"/>
          <w:bCs/>
          <w:lang w:eastAsia="de-DE"/>
        </w:rPr>
        <w:t>Berlin, 1. Ju</w:t>
      </w:r>
      <w:r w:rsidR="00F61EC1">
        <w:rPr>
          <w:rFonts w:ascii="Calibri" w:eastAsia="Times New Roman" w:hAnsi="Calibri" w:cs="Calibri"/>
          <w:bCs/>
          <w:lang w:eastAsia="de-DE"/>
        </w:rPr>
        <w:t>li</w:t>
      </w:r>
      <w:bookmarkStart w:id="0" w:name="_GoBack"/>
      <w:bookmarkEnd w:id="0"/>
      <w:r w:rsidRPr="00C369CF">
        <w:rPr>
          <w:rFonts w:ascii="Calibri" w:eastAsia="Times New Roman" w:hAnsi="Calibri" w:cs="Calibri"/>
          <w:bCs/>
          <w:lang w:eastAsia="de-DE"/>
        </w:rPr>
        <w:t xml:space="preserve"> 2025 – Die wirtschaftliche Situation der deutschen Krankenhäuser bleibt alarmierend. Das zeigt </w:t>
      </w:r>
      <w:r w:rsidR="003F4022">
        <w:rPr>
          <w:rFonts w:ascii="Calibri" w:eastAsia="Times New Roman" w:hAnsi="Calibri" w:cs="Calibri"/>
          <w:bCs/>
          <w:lang w:eastAsia="de-DE"/>
        </w:rPr>
        <w:t xml:space="preserve">nach dem Krankenhausrating Report auch </w:t>
      </w:r>
      <w:r w:rsidRPr="00C369CF">
        <w:rPr>
          <w:rFonts w:ascii="Calibri" w:eastAsia="Times New Roman" w:hAnsi="Calibri" w:cs="Calibri"/>
          <w:bCs/>
          <w:lang w:eastAsia="de-DE"/>
        </w:rPr>
        <w:t>die aktuelle Frühjahrsumfrage zum Krankenhaus-Index des</w:t>
      </w:r>
      <w:r w:rsidR="007D2C2D">
        <w:rPr>
          <w:rFonts w:ascii="Calibri" w:eastAsia="Times New Roman" w:hAnsi="Calibri" w:cs="Calibri"/>
          <w:bCs/>
          <w:lang w:eastAsia="de-DE"/>
        </w:rPr>
        <w:t xml:space="preserve"> </w:t>
      </w:r>
      <w:r w:rsidRPr="00C369CF">
        <w:rPr>
          <w:rFonts w:ascii="Calibri" w:eastAsia="Times New Roman" w:hAnsi="Calibri" w:cs="Calibri"/>
          <w:bCs/>
          <w:lang w:eastAsia="de-DE"/>
        </w:rPr>
        <w:t xml:space="preserve">Deutschen Krankenhausinstituts (DKI), an der sich 416 Krankenhäuser bundesweit beteiligt haben. Die Ergebnisse stammen aus der Erhebung </w:t>
      </w:r>
      <w:r w:rsidR="00044B0A">
        <w:rPr>
          <w:rFonts w:ascii="Calibri" w:eastAsia="Times New Roman" w:hAnsi="Calibri" w:cs="Calibri"/>
          <w:bCs/>
          <w:lang w:eastAsia="de-DE"/>
        </w:rPr>
        <w:t xml:space="preserve">von </w:t>
      </w:r>
      <w:r w:rsidRPr="00C369CF">
        <w:rPr>
          <w:rFonts w:ascii="Calibri" w:eastAsia="Times New Roman" w:hAnsi="Calibri" w:cs="Calibri"/>
          <w:bCs/>
          <w:lang w:eastAsia="de-DE"/>
        </w:rPr>
        <w:t>Anfang Juni.</w:t>
      </w:r>
    </w:p>
    <w:p w14:paraId="47A1F3EB" w14:textId="23A6202A" w:rsidR="00C369CF" w:rsidRPr="00C369CF" w:rsidRDefault="003F4022" w:rsidP="00C369CF">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 xml:space="preserve">Aufgrund notwendiger Sparmaßnahmen </w:t>
      </w:r>
      <w:r w:rsidR="00C369CF" w:rsidRPr="00C369CF">
        <w:rPr>
          <w:rFonts w:ascii="Calibri" w:eastAsia="Times New Roman" w:hAnsi="Calibri" w:cs="Calibri"/>
          <w:bCs/>
          <w:lang w:eastAsia="de-DE"/>
        </w:rPr>
        <w:t xml:space="preserve">müssen sich Patientinnen und Patienten </w:t>
      </w:r>
      <w:r>
        <w:rPr>
          <w:rFonts w:ascii="Calibri" w:eastAsia="Times New Roman" w:hAnsi="Calibri" w:cs="Calibri"/>
          <w:bCs/>
          <w:lang w:eastAsia="de-DE"/>
        </w:rPr>
        <w:t>in</w:t>
      </w:r>
      <w:r w:rsidR="00C369CF" w:rsidRPr="00C369CF">
        <w:rPr>
          <w:rFonts w:ascii="Calibri" w:eastAsia="Times New Roman" w:hAnsi="Calibri" w:cs="Calibri"/>
          <w:bCs/>
          <w:lang w:eastAsia="de-DE"/>
        </w:rPr>
        <w:t xml:space="preserve"> den kommenden sechs Monaten vielerorts auf Einschränkungen in der Versorgung einstellen. Jedes zweite Allgemeinkrankenhaus geht davon aus, Personal reduzieren zu müssen. Dies könnte zu Leistungseinschränkungen führen – etwa </w:t>
      </w:r>
      <w:r w:rsidR="00044B0A">
        <w:rPr>
          <w:rFonts w:ascii="Calibri" w:eastAsia="Times New Roman" w:hAnsi="Calibri" w:cs="Calibri"/>
          <w:bCs/>
          <w:lang w:eastAsia="de-DE"/>
        </w:rPr>
        <w:t>aufgrund von</w:t>
      </w:r>
      <w:r w:rsidR="00C369CF" w:rsidRPr="00C369CF">
        <w:rPr>
          <w:rFonts w:ascii="Calibri" w:eastAsia="Times New Roman" w:hAnsi="Calibri" w:cs="Calibri"/>
          <w:bCs/>
          <w:lang w:eastAsia="de-DE"/>
        </w:rPr>
        <w:t xml:space="preserve"> vorübergehende</w:t>
      </w:r>
      <w:r w:rsidR="00044B0A">
        <w:rPr>
          <w:rFonts w:ascii="Calibri" w:eastAsia="Times New Roman" w:hAnsi="Calibri" w:cs="Calibri"/>
          <w:bCs/>
          <w:lang w:eastAsia="de-DE"/>
        </w:rPr>
        <w:t>n Stationss</w:t>
      </w:r>
      <w:r w:rsidR="00C369CF" w:rsidRPr="00C369CF">
        <w:rPr>
          <w:rFonts w:ascii="Calibri" w:eastAsia="Times New Roman" w:hAnsi="Calibri" w:cs="Calibri"/>
          <w:bCs/>
          <w:lang w:eastAsia="de-DE"/>
        </w:rPr>
        <w:t>chließung</w:t>
      </w:r>
      <w:r w:rsidR="00044B0A">
        <w:rPr>
          <w:rFonts w:ascii="Calibri" w:eastAsia="Times New Roman" w:hAnsi="Calibri" w:cs="Calibri"/>
          <w:bCs/>
          <w:lang w:eastAsia="de-DE"/>
        </w:rPr>
        <w:t>en</w:t>
      </w:r>
      <w:r w:rsidR="00C369CF" w:rsidRPr="00C369CF">
        <w:rPr>
          <w:rFonts w:ascii="Calibri" w:eastAsia="Times New Roman" w:hAnsi="Calibri" w:cs="Calibri"/>
          <w:bCs/>
          <w:lang w:eastAsia="de-DE"/>
        </w:rPr>
        <w:t xml:space="preserve"> oder Verschiebung planbarer Operationen. Hauptursache für diese Entwicklung sind nicht refinanzierte Kostensteigerungen der letzten Jahre.</w:t>
      </w:r>
    </w:p>
    <w:p w14:paraId="2B174B06" w14:textId="77777777" w:rsidR="00C369CF" w:rsidRDefault="00C369CF" w:rsidP="00C369CF">
      <w:pPr>
        <w:tabs>
          <w:tab w:val="left" w:pos="7797"/>
        </w:tabs>
        <w:spacing w:line="340" w:lineRule="exact"/>
        <w:ind w:right="2410"/>
        <w:jc w:val="both"/>
        <w:rPr>
          <w:rFonts w:ascii="Calibri" w:eastAsia="Times New Roman" w:hAnsi="Calibri" w:cs="Calibri"/>
          <w:bCs/>
          <w:lang w:eastAsia="de-DE"/>
        </w:rPr>
      </w:pPr>
      <w:r w:rsidRPr="00C369CF">
        <w:rPr>
          <w:rFonts w:ascii="Calibri" w:eastAsia="Times New Roman" w:hAnsi="Calibri" w:cs="Calibri"/>
          <w:bCs/>
          <w:lang w:eastAsia="de-DE"/>
        </w:rPr>
        <w:t>„Die Umfrageergebnisse bestätigen erneut die angespannte wirtschaftliche Lage unserer Kliniken. Fast die Hälfte der Allgemeinkrankenhäuser bewertet ihre Situation als schlecht oder sehr schlecht, nur elf Prozent sprechen von einer guten Lage“, so Dr. Gerald Gaß, Vorstandsvorsitzender der Deutschen Krankenhausgesellschaft.</w:t>
      </w:r>
    </w:p>
    <w:p w14:paraId="37A5F80D" w14:textId="77777777" w:rsidR="00C369CF" w:rsidRPr="00C369CF" w:rsidRDefault="00C369CF" w:rsidP="00C369CF">
      <w:pPr>
        <w:tabs>
          <w:tab w:val="left" w:pos="7797"/>
        </w:tabs>
        <w:spacing w:line="340" w:lineRule="exact"/>
        <w:ind w:right="2410"/>
        <w:jc w:val="both"/>
        <w:rPr>
          <w:rFonts w:ascii="Calibri" w:eastAsia="Times New Roman" w:hAnsi="Calibri" w:cs="Calibri"/>
          <w:bCs/>
          <w:lang w:eastAsia="de-DE"/>
        </w:rPr>
      </w:pPr>
      <w:r w:rsidRPr="00C369CF">
        <w:rPr>
          <w:rFonts w:ascii="Calibri" w:eastAsia="Times New Roman" w:hAnsi="Calibri" w:cs="Calibri"/>
          <w:bCs/>
          <w:lang w:eastAsia="de-DE"/>
        </w:rPr>
        <w:t xml:space="preserve">Vor dem Hintergrund dieser pessimistischen Einschätzungen begrüßt die Deutsche Krankenhausgesellschaft ausdrücklich das klare Bekenntnis von Bundesgesundheitsministerin Nina </w:t>
      </w:r>
      <w:r>
        <w:rPr>
          <w:rFonts w:ascii="Calibri" w:eastAsia="Times New Roman" w:hAnsi="Calibri" w:cs="Calibri"/>
          <w:bCs/>
          <w:lang w:eastAsia="de-DE"/>
        </w:rPr>
        <w:t>Warken und der Gesundheitsminister der Länder</w:t>
      </w:r>
      <w:r w:rsidRPr="00C369CF">
        <w:rPr>
          <w:rFonts w:ascii="Calibri" w:eastAsia="Times New Roman" w:hAnsi="Calibri" w:cs="Calibri"/>
          <w:bCs/>
          <w:lang w:eastAsia="de-DE"/>
        </w:rPr>
        <w:t xml:space="preserve"> zu einem Inflationsausgleich für die Krankenhäuser sowie zu einer entschlossenen Weiterentwicklung der Krankenhausreform.</w:t>
      </w:r>
    </w:p>
    <w:p w14:paraId="7529E083" w14:textId="77777777" w:rsidR="00C369CF" w:rsidRPr="00C369CF" w:rsidRDefault="00C369CF" w:rsidP="00C369CF">
      <w:pPr>
        <w:tabs>
          <w:tab w:val="left" w:pos="7797"/>
        </w:tabs>
        <w:spacing w:line="340" w:lineRule="exact"/>
        <w:ind w:right="2410"/>
        <w:jc w:val="both"/>
        <w:rPr>
          <w:rFonts w:ascii="Calibri" w:eastAsia="Times New Roman" w:hAnsi="Calibri" w:cs="Calibri"/>
          <w:bCs/>
          <w:lang w:eastAsia="de-DE"/>
        </w:rPr>
      </w:pPr>
      <w:r w:rsidRPr="00C369CF">
        <w:rPr>
          <w:rFonts w:ascii="Calibri" w:eastAsia="Times New Roman" w:hAnsi="Calibri" w:cs="Calibri"/>
          <w:bCs/>
          <w:lang w:eastAsia="de-DE"/>
        </w:rPr>
        <w:t>„Die klare Ansage der Ministerin ist ein wichtiges und richtiges Signal an unsere Häuser und an die Beschäftigten in einer sehr angespannten Situation. Das gibt Hoffnung, dass wir mit finanzieller Unterstützung</w:t>
      </w:r>
      <w:r>
        <w:rPr>
          <w:rFonts w:ascii="Calibri" w:eastAsia="Times New Roman" w:hAnsi="Calibri" w:cs="Calibri"/>
          <w:bCs/>
          <w:lang w:eastAsia="de-DE"/>
        </w:rPr>
        <w:t xml:space="preserve">, </w:t>
      </w:r>
      <w:r w:rsidRPr="00C369CF">
        <w:rPr>
          <w:rFonts w:ascii="Calibri" w:eastAsia="Times New Roman" w:hAnsi="Calibri" w:cs="Calibri"/>
          <w:bCs/>
          <w:lang w:eastAsia="de-DE"/>
        </w:rPr>
        <w:t xml:space="preserve">einer </w:t>
      </w:r>
      <w:r>
        <w:rPr>
          <w:rFonts w:ascii="Calibri" w:eastAsia="Times New Roman" w:hAnsi="Calibri" w:cs="Calibri"/>
          <w:bCs/>
          <w:lang w:eastAsia="de-DE"/>
        </w:rPr>
        <w:t xml:space="preserve">massiven </w:t>
      </w:r>
      <w:r w:rsidRPr="00C369CF">
        <w:rPr>
          <w:rFonts w:ascii="Calibri" w:eastAsia="Times New Roman" w:hAnsi="Calibri" w:cs="Calibri"/>
          <w:bCs/>
          <w:lang w:eastAsia="de-DE"/>
        </w:rPr>
        <w:t xml:space="preserve">Entbürokratisierung </w:t>
      </w:r>
      <w:r>
        <w:rPr>
          <w:rFonts w:ascii="Calibri" w:eastAsia="Times New Roman" w:hAnsi="Calibri" w:cs="Calibri"/>
          <w:bCs/>
          <w:lang w:eastAsia="de-DE"/>
        </w:rPr>
        <w:t xml:space="preserve">und einer Reform </w:t>
      </w:r>
      <w:r w:rsidRPr="00C369CF">
        <w:rPr>
          <w:rFonts w:ascii="Calibri" w:eastAsia="Times New Roman" w:hAnsi="Calibri" w:cs="Calibri"/>
          <w:bCs/>
          <w:lang w:eastAsia="de-DE"/>
        </w:rPr>
        <w:t xml:space="preserve">der Reform den Krankenhäusern wieder mehr </w:t>
      </w:r>
      <w:r>
        <w:rPr>
          <w:rFonts w:ascii="Calibri" w:eastAsia="Times New Roman" w:hAnsi="Calibri" w:cs="Calibri"/>
          <w:bCs/>
          <w:lang w:eastAsia="de-DE"/>
        </w:rPr>
        <w:t>Luft zum Atmen</w:t>
      </w:r>
      <w:r w:rsidRPr="00C369CF">
        <w:rPr>
          <w:rFonts w:ascii="Calibri" w:eastAsia="Times New Roman" w:hAnsi="Calibri" w:cs="Calibri"/>
          <w:bCs/>
          <w:lang w:eastAsia="de-DE"/>
        </w:rPr>
        <w:t xml:space="preserve"> geben können. Wir </w:t>
      </w:r>
      <w:r>
        <w:rPr>
          <w:rFonts w:ascii="Calibri" w:eastAsia="Times New Roman" w:hAnsi="Calibri" w:cs="Calibri"/>
          <w:bCs/>
          <w:lang w:eastAsia="de-DE"/>
        </w:rPr>
        <w:t>hoffen sehr</w:t>
      </w:r>
      <w:r w:rsidRPr="00C369CF">
        <w:rPr>
          <w:rFonts w:ascii="Calibri" w:eastAsia="Times New Roman" w:hAnsi="Calibri" w:cs="Calibri"/>
          <w:bCs/>
          <w:lang w:eastAsia="de-DE"/>
        </w:rPr>
        <w:t xml:space="preserve">, dass sich dieser </w:t>
      </w:r>
      <w:r w:rsidRPr="00C369CF">
        <w:rPr>
          <w:rFonts w:ascii="Calibri" w:eastAsia="Times New Roman" w:hAnsi="Calibri" w:cs="Calibri"/>
          <w:bCs/>
          <w:lang w:eastAsia="de-DE"/>
        </w:rPr>
        <w:lastRenderedPageBreak/>
        <w:t>Rückenwind in den kommenden Befragungen positiv widerspiegelt und die Krankenhäuser mit Zuversicht in die Zukunft blicken können</w:t>
      </w:r>
      <w:r>
        <w:rPr>
          <w:rFonts w:ascii="Calibri" w:eastAsia="Times New Roman" w:hAnsi="Calibri" w:cs="Calibri"/>
          <w:bCs/>
          <w:lang w:eastAsia="de-DE"/>
        </w:rPr>
        <w:t>. Doch dazu müssen die Dinge auch zügig umgesetzt werden</w:t>
      </w:r>
      <w:r w:rsidRPr="00C369CF">
        <w:rPr>
          <w:rFonts w:ascii="Calibri" w:eastAsia="Times New Roman" w:hAnsi="Calibri" w:cs="Calibri"/>
          <w:bCs/>
          <w:lang w:eastAsia="de-DE"/>
        </w:rPr>
        <w:t>“, so Gaß weiter.</w:t>
      </w:r>
    </w:p>
    <w:p w14:paraId="39C18F3A" w14:textId="4D26E76B" w:rsidR="003F4022" w:rsidRPr="00C369CF" w:rsidRDefault="003F4022" w:rsidP="003F4022">
      <w:pPr>
        <w:tabs>
          <w:tab w:val="left" w:pos="7797"/>
        </w:tabs>
        <w:spacing w:line="340" w:lineRule="exact"/>
        <w:ind w:right="2410"/>
        <w:jc w:val="both"/>
        <w:rPr>
          <w:rFonts w:ascii="Calibri" w:eastAsia="Times New Roman" w:hAnsi="Calibri" w:cs="Calibri"/>
          <w:bCs/>
          <w:lang w:eastAsia="de-DE"/>
        </w:rPr>
      </w:pPr>
      <w:r w:rsidRPr="00C369CF">
        <w:rPr>
          <w:rFonts w:ascii="Calibri" w:eastAsia="Times New Roman" w:hAnsi="Calibri" w:cs="Calibri"/>
          <w:bCs/>
          <w:lang w:eastAsia="de-DE"/>
        </w:rPr>
        <w:t>Darüber hinaus befürchten viele Krankenhäuser im Zuge der anstehenden Krankenhausreform zusätzliche Bürokratie</w:t>
      </w:r>
      <w:r>
        <w:rPr>
          <w:rFonts w:ascii="Calibri" w:eastAsia="Times New Roman" w:hAnsi="Calibri" w:cs="Calibri"/>
          <w:bCs/>
          <w:lang w:eastAsia="de-DE"/>
        </w:rPr>
        <w:t>.</w:t>
      </w:r>
      <w:r w:rsidRPr="00C369CF">
        <w:rPr>
          <w:rFonts w:ascii="Calibri" w:eastAsia="Times New Roman" w:hAnsi="Calibri" w:cs="Calibri"/>
          <w:bCs/>
          <w:lang w:eastAsia="de-DE"/>
        </w:rPr>
        <w:t xml:space="preserve"> Für Dokumentationspflichten, MD-Prüfungen und Vorhaltefinanzierung werden bundesweit rund 5.000 zusätzliche Vollzeitkräfte benötigt – mit Mehrkosten von etwa 435 Millionen Euro jährlich.</w:t>
      </w:r>
      <w:r>
        <w:rPr>
          <w:rFonts w:ascii="Calibri" w:eastAsia="Times New Roman" w:hAnsi="Calibri" w:cs="Calibri"/>
          <w:bCs/>
          <w:lang w:eastAsia="de-DE"/>
        </w:rPr>
        <w:t xml:space="preserve"> „Einen solchen Bürokratieaufwuchs muss die Ministerin unbedingt verhindern und deshalb das anstehende Gesetz zu einem konsequenten Bürokratieabbau nutzen. Im Mittelpunkt dabei muss die sofortige Aussetzung der geplanten Vorhaltefinanzierung stehen. Ein in der Sache untaugliches Bürokratiemonstrum ihres Vorgängers“, betont Gaß.</w:t>
      </w:r>
    </w:p>
    <w:p w14:paraId="629700F7" w14:textId="0B9261E4" w:rsidR="00C369CF" w:rsidRPr="00C369CF" w:rsidRDefault="00C369CF" w:rsidP="00C369CF">
      <w:pPr>
        <w:tabs>
          <w:tab w:val="left" w:pos="7797"/>
        </w:tabs>
        <w:spacing w:line="340" w:lineRule="exact"/>
        <w:ind w:right="2410"/>
        <w:jc w:val="both"/>
        <w:rPr>
          <w:rFonts w:ascii="Calibri" w:eastAsia="Times New Roman" w:hAnsi="Calibri" w:cs="Calibri"/>
          <w:bCs/>
          <w:lang w:eastAsia="de-DE"/>
        </w:rPr>
      </w:pPr>
      <w:r w:rsidRPr="00C369CF">
        <w:rPr>
          <w:rFonts w:ascii="Calibri" w:eastAsia="Times New Roman" w:hAnsi="Calibri" w:cs="Calibri"/>
          <w:bCs/>
          <w:lang w:eastAsia="de-DE"/>
        </w:rPr>
        <w:t xml:space="preserve">Auch </w:t>
      </w:r>
      <w:r>
        <w:rPr>
          <w:rFonts w:ascii="Calibri" w:eastAsia="Times New Roman" w:hAnsi="Calibri" w:cs="Calibri"/>
          <w:bCs/>
          <w:lang w:eastAsia="de-DE"/>
        </w:rPr>
        <w:t xml:space="preserve">die Zielsetzung künftig </w:t>
      </w:r>
      <w:r w:rsidR="00044B0A">
        <w:rPr>
          <w:rFonts w:ascii="Calibri" w:eastAsia="Times New Roman" w:hAnsi="Calibri" w:cs="Calibri"/>
          <w:bCs/>
          <w:lang w:eastAsia="de-DE"/>
        </w:rPr>
        <w:t>eine</w:t>
      </w:r>
      <w:r>
        <w:rPr>
          <w:rFonts w:ascii="Calibri" w:eastAsia="Times New Roman" w:hAnsi="Calibri" w:cs="Calibri"/>
          <w:bCs/>
          <w:lang w:eastAsia="de-DE"/>
        </w:rPr>
        <w:t xml:space="preserve"> Million Fälle </w:t>
      </w:r>
      <w:r w:rsidR="00044B0A">
        <w:rPr>
          <w:rFonts w:ascii="Calibri" w:eastAsia="Times New Roman" w:hAnsi="Calibri" w:cs="Calibri"/>
          <w:bCs/>
          <w:lang w:eastAsia="de-DE"/>
        </w:rPr>
        <w:t xml:space="preserve">unter den </w:t>
      </w:r>
      <w:r>
        <w:rPr>
          <w:rFonts w:ascii="Calibri" w:eastAsia="Times New Roman" w:hAnsi="Calibri" w:cs="Calibri"/>
          <w:bCs/>
          <w:lang w:eastAsia="de-DE"/>
        </w:rPr>
        <w:t>sogenannte</w:t>
      </w:r>
      <w:r w:rsidR="00044B0A">
        <w:rPr>
          <w:rFonts w:ascii="Calibri" w:eastAsia="Times New Roman" w:hAnsi="Calibri" w:cs="Calibri"/>
          <w:bCs/>
          <w:lang w:eastAsia="de-DE"/>
        </w:rPr>
        <w:t>n</w:t>
      </w:r>
      <w:r>
        <w:rPr>
          <w:rFonts w:ascii="Calibri" w:eastAsia="Times New Roman" w:hAnsi="Calibri" w:cs="Calibri"/>
          <w:bCs/>
          <w:lang w:eastAsia="de-DE"/>
        </w:rPr>
        <w:t xml:space="preserve"> Hybrid</w:t>
      </w:r>
      <w:r w:rsidR="00044B0A">
        <w:rPr>
          <w:rFonts w:ascii="Calibri" w:eastAsia="Times New Roman" w:hAnsi="Calibri" w:cs="Calibri"/>
          <w:bCs/>
          <w:lang w:eastAsia="de-DE"/>
        </w:rPr>
        <w:t>-</w:t>
      </w:r>
      <w:r>
        <w:rPr>
          <w:rFonts w:ascii="Calibri" w:eastAsia="Times New Roman" w:hAnsi="Calibri" w:cs="Calibri"/>
          <w:bCs/>
          <w:lang w:eastAsia="de-DE"/>
        </w:rPr>
        <w:t xml:space="preserve">DRGs erbringen zu müssen, </w:t>
      </w:r>
      <w:r w:rsidRPr="00C369CF">
        <w:rPr>
          <w:rFonts w:ascii="Calibri" w:eastAsia="Times New Roman" w:hAnsi="Calibri" w:cs="Calibri"/>
          <w:bCs/>
          <w:lang w:eastAsia="de-DE"/>
        </w:rPr>
        <w:t xml:space="preserve">stellen die </w:t>
      </w:r>
      <w:r w:rsidR="00044B0A">
        <w:rPr>
          <w:rFonts w:ascii="Calibri" w:eastAsia="Times New Roman" w:hAnsi="Calibri" w:cs="Calibri"/>
          <w:bCs/>
          <w:lang w:eastAsia="de-DE"/>
        </w:rPr>
        <w:t>Krankenh</w:t>
      </w:r>
      <w:r w:rsidRPr="00C369CF">
        <w:rPr>
          <w:rFonts w:ascii="Calibri" w:eastAsia="Times New Roman" w:hAnsi="Calibri" w:cs="Calibri"/>
          <w:bCs/>
          <w:lang w:eastAsia="de-DE"/>
        </w:rPr>
        <w:t xml:space="preserve">äuser vor Herausforderungen: So nehmen über 90 Prozent der Krankenhäuser bereits an der Erbringung von Hybrid-DRGs teil. Aktuell überwiegen jedoch die Sorgen um eine lückenlose Nachsorge der </w:t>
      </w:r>
      <w:r w:rsidR="00044B0A">
        <w:rPr>
          <w:rFonts w:ascii="Calibri" w:eastAsia="Times New Roman" w:hAnsi="Calibri" w:cs="Calibri"/>
          <w:bCs/>
          <w:lang w:eastAsia="de-DE"/>
        </w:rPr>
        <w:t xml:space="preserve">Patientinnen und </w:t>
      </w:r>
      <w:r w:rsidRPr="00C369CF">
        <w:rPr>
          <w:rFonts w:ascii="Calibri" w:eastAsia="Times New Roman" w:hAnsi="Calibri" w:cs="Calibri"/>
          <w:bCs/>
          <w:lang w:eastAsia="de-DE"/>
        </w:rPr>
        <w:t>Patienten, insbesondere wegen fehlender Kapazitäten im ambulanten Bereich.</w:t>
      </w:r>
    </w:p>
    <w:p w14:paraId="560CFBD7" w14:textId="18586CF6" w:rsidR="00C369CF" w:rsidRPr="00C369CF" w:rsidRDefault="00044B0A" w:rsidP="00C369CF">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Nur wenige Häuser planen</w:t>
      </w:r>
      <w:r w:rsidR="003F4022">
        <w:rPr>
          <w:rFonts w:ascii="Calibri" w:eastAsia="Times New Roman" w:hAnsi="Calibri" w:cs="Calibri"/>
          <w:bCs/>
          <w:lang w:eastAsia="de-DE"/>
        </w:rPr>
        <w:t xml:space="preserve"> derzeit</w:t>
      </w:r>
      <w:r>
        <w:rPr>
          <w:rFonts w:ascii="Calibri" w:eastAsia="Times New Roman" w:hAnsi="Calibri" w:cs="Calibri"/>
          <w:bCs/>
          <w:lang w:eastAsia="de-DE"/>
        </w:rPr>
        <w:t>, die angekündigte Möglichkeit,</w:t>
      </w:r>
      <w:r w:rsidR="00C369CF" w:rsidRPr="00C369CF">
        <w:rPr>
          <w:rFonts w:ascii="Calibri" w:eastAsia="Times New Roman" w:hAnsi="Calibri" w:cs="Calibri"/>
          <w:bCs/>
          <w:lang w:eastAsia="de-DE"/>
        </w:rPr>
        <w:t xml:space="preserve"> sektorenübergreifende Versorgungseinrichtungen (SüV) einzurichten, </w:t>
      </w:r>
      <w:r>
        <w:rPr>
          <w:rFonts w:ascii="Calibri" w:eastAsia="Times New Roman" w:hAnsi="Calibri" w:cs="Calibri"/>
          <w:bCs/>
          <w:lang w:eastAsia="de-DE"/>
        </w:rPr>
        <w:t>zu nutzen</w:t>
      </w:r>
      <w:r w:rsidR="00C369CF" w:rsidRPr="00C369CF">
        <w:rPr>
          <w:rFonts w:ascii="Calibri" w:eastAsia="Times New Roman" w:hAnsi="Calibri" w:cs="Calibri"/>
          <w:bCs/>
          <w:lang w:eastAsia="de-DE"/>
        </w:rPr>
        <w:t>. Lediglich acht Prozent wollen eine SüV vorhalten, ein Viertel prüft entsprechende Schritte, vor allem in ländlichen Regionen.</w:t>
      </w:r>
      <w:r w:rsidR="003F4022">
        <w:rPr>
          <w:rFonts w:ascii="Calibri" w:eastAsia="Times New Roman" w:hAnsi="Calibri" w:cs="Calibri"/>
          <w:bCs/>
          <w:lang w:eastAsia="de-DE"/>
        </w:rPr>
        <w:t xml:space="preserve"> Aus dieser Zurückhaltung wird deutlich, wie unklar nach wie vor die zukünftige Rahmenbedingungen für diese neuen Versorgungsangebote sind.</w:t>
      </w:r>
    </w:p>
    <w:p w14:paraId="16906A56" w14:textId="7FCBAB4E" w:rsidR="00A523B2" w:rsidRDefault="007D2C2D" w:rsidP="00A523B2">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 xml:space="preserve">Der </w:t>
      </w:r>
      <w:r w:rsidRPr="007D2C2D">
        <w:rPr>
          <w:rFonts w:ascii="Calibri" w:eastAsia="Times New Roman" w:hAnsi="Calibri" w:cs="Calibri"/>
          <w:bCs/>
          <w:lang w:eastAsia="de-DE"/>
        </w:rPr>
        <w:t>DKI-Krankenhaus-Index</w:t>
      </w:r>
      <w:r>
        <w:rPr>
          <w:rFonts w:ascii="Calibri" w:eastAsia="Times New Roman" w:hAnsi="Calibri" w:cs="Calibri"/>
          <w:bCs/>
          <w:lang w:eastAsia="de-DE"/>
        </w:rPr>
        <w:t xml:space="preserve"> ist als Anlage beigefügt.</w:t>
      </w:r>
    </w:p>
    <w:p w14:paraId="4377D35C" w14:textId="77777777" w:rsidR="007D2C2D" w:rsidRDefault="007D2C2D" w:rsidP="00A523B2">
      <w:pPr>
        <w:tabs>
          <w:tab w:val="left" w:pos="7797"/>
        </w:tabs>
        <w:spacing w:line="340" w:lineRule="exact"/>
        <w:ind w:right="2410"/>
        <w:jc w:val="both"/>
        <w:rPr>
          <w:rFonts w:ascii="Calibri" w:eastAsia="Times New Roman" w:hAnsi="Calibri" w:cs="Calibri"/>
          <w:bCs/>
          <w:lang w:eastAsia="de-DE"/>
        </w:rPr>
      </w:pPr>
    </w:p>
    <w:p w14:paraId="3D4C315F" w14:textId="77777777" w:rsidR="00BF6D8E" w:rsidRPr="00A523B2" w:rsidRDefault="00C92F25" w:rsidP="00A523B2">
      <w:pPr>
        <w:tabs>
          <w:tab w:val="left" w:pos="7797"/>
        </w:tabs>
        <w:spacing w:line="340" w:lineRule="exact"/>
        <w:ind w:right="2410"/>
        <w:jc w:val="both"/>
        <w:rPr>
          <w:rFonts w:ascii="Calibri" w:eastAsia="Times New Roman" w:hAnsi="Calibri" w:cs="Calibri"/>
          <w:bCs/>
          <w:lang w:eastAsia="de-DE"/>
        </w:rPr>
      </w:pPr>
      <w:r w:rsidRPr="00C16FF4">
        <w:rPr>
          <w:rFonts w:ascii="Calibri" w:hAnsi="Calibri" w:cs="Calibri"/>
          <w:b/>
          <w:color w:val="7F7F7F" w:themeColor="text1" w:themeTint="80"/>
          <w:sz w:val="18"/>
        </w:rPr>
        <w:t>Die Deutsche Krankenhausgesellschaft (DKG)</w:t>
      </w:r>
      <w:r w:rsidRPr="00C16FF4">
        <w:rPr>
          <w:rFonts w:ascii="Calibri" w:hAnsi="Calibri" w:cs="Calibri"/>
          <w:color w:val="7F7F7F" w:themeColor="text1" w:themeTint="80"/>
          <w:sz w:val="18"/>
        </w:rPr>
        <w:t xml:space="preserve"> </w:t>
      </w:r>
      <w:r w:rsidR="009E4E2F" w:rsidRPr="00C16FF4">
        <w:rPr>
          <w:rFonts w:ascii="Calibri" w:hAnsi="Calibri" w:cs="Calibri"/>
          <w:color w:val="7F7F7F" w:themeColor="text1" w:themeTint="80"/>
          <w:sz w:val="18"/>
        </w:rPr>
        <w:t xml:space="preserve">ist der </w:t>
      </w:r>
      <w:r w:rsidR="0058674F" w:rsidRPr="00C16FF4">
        <w:rPr>
          <w:rFonts w:ascii="Calibri" w:hAnsi="Calibri" w:cs="Calibri"/>
          <w:color w:val="7F7F7F" w:themeColor="text1" w:themeTint="80"/>
          <w:sz w:val="18"/>
        </w:rPr>
        <w:t xml:space="preserve">Dachverband der Krankenhausträger in Deutschland. Sie vertritt die Interessen der 28 Mitglieder – 16 Landesverbände und 12 Spitzenverbände – </w:t>
      </w:r>
      <w:r w:rsidR="00586EFC" w:rsidRPr="00C16FF4">
        <w:rPr>
          <w:rFonts w:ascii="Calibri" w:hAnsi="Calibri" w:cs="Calibri"/>
          <w:color w:val="7F7F7F" w:themeColor="text1" w:themeTint="80"/>
          <w:sz w:val="18"/>
        </w:rPr>
        <w:t xml:space="preserve">in der Bundes- und EU-Politik </w:t>
      </w:r>
      <w:r w:rsidR="0058674F" w:rsidRPr="00C16FF4">
        <w:rPr>
          <w:rFonts w:ascii="Calibri" w:hAnsi="Calibri" w:cs="Calibri"/>
          <w:color w:val="7F7F7F" w:themeColor="text1" w:themeTint="80"/>
          <w:sz w:val="18"/>
        </w:rPr>
        <w:t>und nimmt ihr gesetzlich über</w:t>
      </w:r>
      <w:r w:rsidR="008556B9" w:rsidRPr="00C16FF4">
        <w:rPr>
          <w:rFonts w:ascii="Calibri" w:hAnsi="Calibri" w:cs="Calibri"/>
          <w:color w:val="7F7F7F" w:themeColor="text1" w:themeTint="80"/>
          <w:sz w:val="18"/>
        </w:rPr>
        <w:t>tragene Aufgaben wahr. Die 1.</w:t>
      </w:r>
      <w:r w:rsidR="00E03842" w:rsidRPr="00C16FF4">
        <w:rPr>
          <w:rFonts w:ascii="Calibri" w:hAnsi="Calibri" w:cs="Calibri"/>
          <w:color w:val="7F7F7F" w:themeColor="text1" w:themeTint="80"/>
          <w:sz w:val="18"/>
        </w:rPr>
        <w:t>8</w:t>
      </w:r>
      <w:r w:rsidR="002B2D75">
        <w:rPr>
          <w:rFonts w:ascii="Calibri" w:hAnsi="Calibri" w:cs="Calibri"/>
          <w:color w:val="7F7F7F" w:themeColor="text1" w:themeTint="80"/>
          <w:sz w:val="18"/>
        </w:rPr>
        <w:t>74</w:t>
      </w:r>
      <w:r w:rsidR="0058674F" w:rsidRPr="00C16FF4">
        <w:rPr>
          <w:rFonts w:ascii="Calibri" w:hAnsi="Calibri" w:cs="Calibri"/>
          <w:color w:val="7F7F7F" w:themeColor="text1" w:themeTint="80"/>
          <w:sz w:val="18"/>
        </w:rPr>
        <w:t xml:space="preserve"> Krankenhäuser versorgen</w:t>
      </w:r>
      <w:r w:rsidR="00DD49DE" w:rsidRPr="00C16FF4">
        <w:rPr>
          <w:rFonts w:ascii="Calibri" w:hAnsi="Calibri" w:cs="Calibri"/>
          <w:color w:val="7F7F7F" w:themeColor="text1" w:themeTint="80"/>
          <w:sz w:val="18"/>
        </w:rPr>
        <w:t xml:space="preserve"> jährlich </w:t>
      </w:r>
      <w:r w:rsidR="001921E4" w:rsidRPr="00C16FF4">
        <w:rPr>
          <w:rFonts w:ascii="Calibri" w:hAnsi="Calibri" w:cs="Calibri"/>
          <w:color w:val="7F7F7F" w:themeColor="text1" w:themeTint="80"/>
          <w:sz w:val="18"/>
        </w:rPr>
        <w:t>1</w:t>
      </w:r>
      <w:r w:rsidR="002B2D75">
        <w:rPr>
          <w:rFonts w:ascii="Calibri" w:hAnsi="Calibri" w:cs="Calibri"/>
          <w:color w:val="7F7F7F" w:themeColor="text1" w:themeTint="80"/>
          <w:sz w:val="18"/>
        </w:rPr>
        <w:t>7</w:t>
      </w:r>
      <w:r w:rsidR="0058674F" w:rsidRPr="00C16FF4">
        <w:rPr>
          <w:rFonts w:ascii="Calibri" w:hAnsi="Calibri" w:cs="Calibri"/>
          <w:color w:val="7F7F7F" w:themeColor="text1" w:themeTint="80"/>
          <w:sz w:val="18"/>
        </w:rPr>
        <w:t xml:space="preserve"> Millionen stationäre Patienten</w:t>
      </w:r>
      <w:r w:rsidR="001921E4"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 xml:space="preserve">und </w:t>
      </w:r>
      <w:r w:rsidR="00363F93" w:rsidRPr="00C16FF4">
        <w:rPr>
          <w:rFonts w:ascii="Calibri" w:hAnsi="Calibri" w:cs="Calibri"/>
          <w:color w:val="7F7F7F" w:themeColor="text1" w:themeTint="80"/>
          <w:sz w:val="18"/>
        </w:rPr>
        <w:t xml:space="preserve">rund </w:t>
      </w:r>
      <w:r w:rsidR="00E03842" w:rsidRPr="00C16FF4">
        <w:rPr>
          <w:rFonts w:ascii="Calibri" w:hAnsi="Calibri" w:cs="Calibri"/>
          <w:color w:val="7F7F7F" w:themeColor="text1" w:themeTint="80"/>
          <w:sz w:val="18"/>
        </w:rPr>
        <w:t>2</w:t>
      </w:r>
      <w:r w:rsidR="002B2D75">
        <w:rPr>
          <w:rFonts w:ascii="Calibri" w:hAnsi="Calibri" w:cs="Calibri"/>
          <w:color w:val="7F7F7F" w:themeColor="text1" w:themeTint="80"/>
          <w:sz w:val="18"/>
        </w:rPr>
        <w:t>3</w:t>
      </w:r>
      <w:r w:rsidR="0058674F" w:rsidRPr="00C16FF4">
        <w:rPr>
          <w:rFonts w:ascii="Calibri" w:hAnsi="Calibri" w:cs="Calibri"/>
          <w:color w:val="7F7F7F" w:themeColor="text1" w:themeTint="80"/>
          <w:sz w:val="18"/>
        </w:rPr>
        <w:t xml:space="preserve"> Millionen amb</w:t>
      </w:r>
      <w:r w:rsidR="00F10B67" w:rsidRPr="00C16FF4">
        <w:rPr>
          <w:rFonts w:ascii="Calibri" w:hAnsi="Calibri" w:cs="Calibri"/>
          <w:color w:val="7F7F7F" w:themeColor="text1" w:themeTint="80"/>
          <w:sz w:val="18"/>
        </w:rPr>
        <w:t>ulante Behandlungsfälle mit 1,</w:t>
      </w:r>
      <w:r w:rsidR="00E03842" w:rsidRPr="00C16FF4">
        <w:rPr>
          <w:rFonts w:ascii="Calibri" w:hAnsi="Calibri" w:cs="Calibri"/>
          <w:color w:val="7F7F7F" w:themeColor="text1" w:themeTint="80"/>
          <w:sz w:val="18"/>
        </w:rPr>
        <w:t>4</w:t>
      </w:r>
      <w:r w:rsidR="00407552" w:rsidRPr="00C16FF4">
        <w:rPr>
          <w:rFonts w:ascii="Calibri" w:hAnsi="Calibri" w:cs="Calibri"/>
          <w:color w:val="7F7F7F" w:themeColor="text1" w:themeTint="80"/>
          <w:sz w:val="18"/>
        </w:rPr>
        <w:t xml:space="preserve"> </w:t>
      </w:r>
      <w:r w:rsidR="00FA20E1" w:rsidRPr="00C16FF4">
        <w:rPr>
          <w:rFonts w:ascii="Calibri" w:hAnsi="Calibri" w:cs="Calibri"/>
          <w:color w:val="7F7F7F" w:themeColor="text1" w:themeTint="80"/>
          <w:sz w:val="18"/>
        </w:rPr>
        <w:t>Millionen Mitarbeiter</w:t>
      </w:r>
      <w:r w:rsidR="002B2D75">
        <w:rPr>
          <w:rFonts w:ascii="Calibri" w:hAnsi="Calibri" w:cs="Calibri"/>
          <w:color w:val="7F7F7F" w:themeColor="text1" w:themeTint="80"/>
          <w:sz w:val="18"/>
        </w:rPr>
        <w:t xml:space="preserve">innen und Mitarbeitern </w:t>
      </w:r>
      <w:r w:rsidR="002B2D75" w:rsidRPr="00C16FF4">
        <w:rPr>
          <w:rFonts w:ascii="Calibri" w:hAnsi="Calibri" w:cs="Calibri"/>
          <w:color w:val="7F7F7F" w:themeColor="text1" w:themeTint="80"/>
          <w:sz w:val="18"/>
        </w:rPr>
        <w:t>(202</w:t>
      </w:r>
      <w:r w:rsidR="002B2D75">
        <w:rPr>
          <w:rFonts w:ascii="Calibri" w:hAnsi="Calibri" w:cs="Calibri"/>
          <w:color w:val="7F7F7F" w:themeColor="text1" w:themeTint="80"/>
          <w:sz w:val="18"/>
        </w:rPr>
        <w:t>3</w:t>
      </w:r>
      <w:r w:rsidR="002B2D75" w:rsidRPr="00C16FF4">
        <w:rPr>
          <w:rFonts w:ascii="Calibri" w:hAnsi="Calibri" w:cs="Calibri"/>
          <w:color w:val="7F7F7F" w:themeColor="text1" w:themeTint="80"/>
          <w:sz w:val="18"/>
        </w:rPr>
        <w:t>)</w:t>
      </w:r>
      <w:r w:rsidR="00FA20E1" w:rsidRPr="00C16FF4">
        <w:rPr>
          <w:rFonts w:ascii="Calibri" w:hAnsi="Calibri" w:cs="Calibri"/>
          <w:color w:val="7F7F7F" w:themeColor="text1" w:themeTint="80"/>
          <w:sz w:val="18"/>
        </w:rPr>
        <w:t xml:space="preserve">. Bei </w:t>
      </w:r>
      <w:r w:rsidR="002B52C0" w:rsidRPr="00C16FF4">
        <w:rPr>
          <w:rFonts w:ascii="Calibri" w:hAnsi="Calibri" w:cs="Calibri"/>
          <w:color w:val="7F7F7F" w:themeColor="text1" w:themeTint="80"/>
          <w:sz w:val="18"/>
        </w:rPr>
        <w:t>1</w:t>
      </w:r>
      <w:r w:rsidR="002B2D75">
        <w:rPr>
          <w:rFonts w:ascii="Calibri" w:hAnsi="Calibri" w:cs="Calibri"/>
          <w:color w:val="7F7F7F" w:themeColor="text1" w:themeTint="80"/>
          <w:sz w:val="18"/>
        </w:rPr>
        <w:t>41</w:t>
      </w:r>
      <w:r w:rsidR="00AE24DB"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Milliarden Euro Jahresumsatz in deutschen Krankenhäusern handelt die DKG für einen maßgeblichen Wirtschaftsfaktor im Gesundheitswesen</w:t>
      </w:r>
      <w:r w:rsidR="00A523B2">
        <w:rPr>
          <w:rFonts w:ascii="Calibri" w:hAnsi="Calibri" w:cs="Calibri"/>
          <w:color w:val="7F7F7F" w:themeColor="text1" w:themeTint="80"/>
          <w:sz w:val="18"/>
        </w:rPr>
        <w:t>.</w:t>
      </w:r>
    </w:p>
    <w:sectPr w:rsidR="00BF6D8E" w:rsidRPr="00A523B2"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CAC2" w14:textId="77777777" w:rsidR="00AD29CC" w:rsidRDefault="00AD29CC" w:rsidP="008125E6">
      <w:pPr>
        <w:spacing w:after="0"/>
      </w:pPr>
      <w:r>
        <w:separator/>
      </w:r>
    </w:p>
  </w:endnote>
  <w:endnote w:type="continuationSeparator" w:id="0">
    <w:p w14:paraId="18AA9088" w14:textId="77777777" w:rsidR="00AD29CC" w:rsidRDefault="00AD29C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23FEC"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6C53DBDA" wp14:editId="6826238B">
              <wp:simplePos x="0" y="0"/>
              <wp:positionH relativeFrom="column">
                <wp:posOffset>5269436</wp:posOffset>
              </wp:positionH>
              <wp:positionV relativeFrom="paragraph">
                <wp:posOffset>-3202940</wp:posOffset>
              </wp:positionV>
              <wp:extent cx="1466850" cy="3324610"/>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24610"/>
                      </a:xfrm>
                      <a:prstGeom prst="rect">
                        <a:avLst/>
                      </a:prstGeom>
                      <a:solidFill>
                        <a:srgbClr val="FFFFFF"/>
                      </a:solidFill>
                      <a:ln w="9525">
                        <a:noFill/>
                        <a:miter lim="800000"/>
                        <a:headEnd/>
                        <a:tailEnd/>
                      </a:ln>
                    </wps:spPr>
                    <wps:txbx>
                      <w:txbxContent>
                        <w:p w14:paraId="1A2E7453"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3314C0E" w14:textId="77777777"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153F5588"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9C10ED6" w14:textId="77777777"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3E62FCB6" w14:textId="77777777"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7685AB34"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0105E8F9"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AC74E54"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B14DD5C"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5A7CE67D" w14:textId="77777777"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04A341F9" w14:textId="77777777"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0626AAE7"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1477114C" w14:textId="7777777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36DF5EFC" w14:textId="7777777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324BC33D" w14:textId="77777777" w:rsidR="0036343E" w:rsidRPr="00A8789C" w:rsidRDefault="0036343E" w:rsidP="00717437">
                          <w:pPr>
                            <w:spacing w:after="0"/>
                            <w:rPr>
                              <w:rFonts w:asciiTheme="majorHAnsi" w:hAnsiTheme="majorHAnsi" w:cstheme="majorHAnsi"/>
                              <w:color w:val="7F7F7F" w:themeColor="text1" w:themeTint="80"/>
                              <w:sz w:val="8"/>
                              <w:szCs w:val="8"/>
                            </w:rPr>
                          </w:pPr>
                        </w:p>
                        <w:p w14:paraId="1F8DBEE6" w14:textId="77777777"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1BE138D3" w14:textId="77777777"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2A4DC421"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0469F8CA" w14:textId="77777777"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707A05D7" w14:textId="77777777"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143F0C9C" w14:textId="77777777"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51D367C1" w14:textId="77777777"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364041F6" w14:textId="77777777"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A2F54F4"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64DB05A1" w14:textId="77777777"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173EE65"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178D6AAA"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2741CAA9"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22087323" w14:textId="77777777" w:rsidR="0065306F" w:rsidRPr="00A8789C" w:rsidRDefault="0065306F" w:rsidP="0065306F">
                          <w:pPr>
                            <w:spacing w:after="0"/>
                            <w:rPr>
                              <w:rFonts w:asciiTheme="majorHAnsi" w:hAnsiTheme="majorHAnsi" w:cstheme="majorHAnsi"/>
                              <w:sz w:val="8"/>
                              <w:szCs w:val="8"/>
                            </w:rPr>
                          </w:pPr>
                        </w:p>
                        <w:p w14:paraId="3935D2F7" w14:textId="77777777" w:rsidR="005F6092" w:rsidRPr="00A8789C" w:rsidRDefault="005F6092" w:rsidP="0065306F">
                          <w:pPr>
                            <w:spacing w:after="0"/>
                            <w:rPr>
                              <w:rFonts w:asciiTheme="majorHAnsi" w:hAnsiTheme="majorHAnsi" w:cstheme="majorHAnsi"/>
                              <w:sz w:val="8"/>
                              <w:szCs w:val="8"/>
                            </w:rPr>
                          </w:pPr>
                        </w:p>
                        <w:p w14:paraId="60EB31FC" w14:textId="77777777"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39E96BBC" w14:textId="77777777"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4AD6E74F" w14:textId="77777777"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1749DA3" w14:textId="77777777"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3DBDA" id="_x0000_t202" coordsize="21600,21600" o:spt="202" path="m,l,21600r21600,l21600,xe">
              <v:stroke joinstyle="miter"/>
              <v:path gradientshapeok="t" o:connecttype="rect"/>
            </v:shapetype>
            <v:shape id="Textfeld 2" o:spid="_x0000_s1026" type="#_x0000_t202" style="position:absolute;left:0;text-align:left;margin-left:414.9pt;margin-top:-252.2pt;width:115.5pt;height:2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" stroked="f">
              <v:textbox>
                <w:txbxContent>
                  <w:p w14:paraId="1A2E7453"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3314C0E" w14:textId="77777777"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153F5588"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9C10ED6" w14:textId="77777777"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3E62FCB6" w14:textId="77777777"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7685AB34"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0105E8F9"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AC74E54"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B14DD5C"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5A7CE67D" w14:textId="77777777"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04A341F9" w14:textId="77777777"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0626AAE7"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1477114C" w14:textId="7777777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36DF5EFC" w14:textId="7777777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324BC33D" w14:textId="77777777" w:rsidR="0036343E" w:rsidRPr="00A8789C" w:rsidRDefault="0036343E" w:rsidP="00717437">
                    <w:pPr>
                      <w:spacing w:after="0"/>
                      <w:rPr>
                        <w:rFonts w:asciiTheme="majorHAnsi" w:hAnsiTheme="majorHAnsi" w:cstheme="majorHAnsi"/>
                        <w:color w:val="7F7F7F" w:themeColor="text1" w:themeTint="80"/>
                        <w:sz w:val="8"/>
                        <w:szCs w:val="8"/>
                      </w:rPr>
                    </w:pPr>
                  </w:p>
                  <w:p w14:paraId="1F8DBEE6" w14:textId="77777777"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1BE138D3" w14:textId="77777777"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2A4DC421"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0469F8CA" w14:textId="77777777"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707A05D7" w14:textId="77777777"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143F0C9C" w14:textId="77777777"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51D367C1" w14:textId="77777777"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364041F6" w14:textId="77777777"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A2F54F4"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64DB05A1" w14:textId="77777777"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173EE65"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178D6AAA"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Wegelystraße 3</w:t>
                    </w:r>
                  </w:p>
                  <w:p w14:paraId="2741CAA9"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22087323" w14:textId="77777777" w:rsidR="0065306F" w:rsidRPr="00A8789C" w:rsidRDefault="0065306F" w:rsidP="0065306F">
                    <w:pPr>
                      <w:spacing w:after="0"/>
                      <w:rPr>
                        <w:rFonts w:asciiTheme="majorHAnsi" w:hAnsiTheme="majorHAnsi" w:cstheme="majorHAnsi"/>
                        <w:sz w:val="8"/>
                        <w:szCs w:val="8"/>
                      </w:rPr>
                    </w:pPr>
                  </w:p>
                  <w:p w14:paraId="3935D2F7" w14:textId="77777777" w:rsidR="005F6092" w:rsidRPr="00A8789C" w:rsidRDefault="005F6092" w:rsidP="0065306F">
                    <w:pPr>
                      <w:spacing w:after="0"/>
                      <w:rPr>
                        <w:rFonts w:asciiTheme="majorHAnsi" w:hAnsiTheme="majorHAnsi" w:cstheme="majorHAnsi"/>
                        <w:sz w:val="8"/>
                        <w:szCs w:val="8"/>
                      </w:rPr>
                    </w:pPr>
                  </w:p>
                  <w:p w14:paraId="60EB31FC" w14:textId="77777777"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39E96BBC" w14:textId="77777777"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4AD6E74F" w14:textId="77777777"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1749DA3" w14:textId="77777777"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v:textbox>
            </v:shape>
          </w:pict>
        </mc:Fallback>
      </mc:AlternateContent>
    </w:r>
  </w:p>
  <w:p w14:paraId="52CB42CF"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8EB0C" w14:textId="77777777" w:rsidR="00AD29CC" w:rsidRDefault="00AD29CC" w:rsidP="008125E6">
      <w:pPr>
        <w:spacing w:after="0"/>
      </w:pPr>
      <w:r>
        <w:separator/>
      </w:r>
    </w:p>
  </w:footnote>
  <w:footnote w:type="continuationSeparator" w:id="0">
    <w:p w14:paraId="56320902" w14:textId="77777777" w:rsidR="00AD29CC" w:rsidRDefault="00AD29CC"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E268" w14:textId="77777777" w:rsidR="009D26E3" w:rsidRPr="00F67944" w:rsidRDefault="009D26E3" w:rsidP="00031885">
    <w:pPr>
      <w:pStyle w:val="Kopfzeile"/>
      <w:ind w:right="850"/>
      <w:jc w:val="center"/>
      <w:rPr>
        <w:rFonts w:asciiTheme="majorHAnsi" w:hAnsiTheme="majorHAnsi" w:cstheme="majorHAnsi"/>
        <w:sz w:val="22"/>
        <w:szCs w:val="22"/>
      </w:rPr>
    </w:pPr>
    <w:r w:rsidRPr="00F67944">
      <w:rPr>
        <w:rFonts w:asciiTheme="majorHAnsi" w:hAnsiTheme="majorHAnsi" w:cstheme="majorHAnsi"/>
        <w:sz w:val="22"/>
        <w:szCs w:val="22"/>
      </w:rPr>
      <w:fldChar w:fldCharType="begin"/>
    </w:r>
    <w:r w:rsidRPr="00F67944">
      <w:rPr>
        <w:rFonts w:asciiTheme="majorHAnsi" w:hAnsiTheme="majorHAnsi" w:cstheme="majorHAnsi"/>
        <w:sz w:val="22"/>
        <w:szCs w:val="22"/>
      </w:rPr>
      <w:instrText>PAGE   \* MERGEFORMAT</w:instrText>
    </w:r>
    <w:r w:rsidRPr="00F67944">
      <w:rPr>
        <w:rFonts w:asciiTheme="majorHAnsi" w:hAnsiTheme="majorHAnsi" w:cstheme="majorHAnsi"/>
        <w:sz w:val="22"/>
        <w:szCs w:val="22"/>
      </w:rPr>
      <w:fldChar w:fldCharType="separate"/>
    </w:r>
    <w:r w:rsidR="00C930CF" w:rsidRPr="00F67944">
      <w:rPr>
        <w:rFonts w:asciiTheme="majorHAnsi" w:hAnsiTheme="majorHAnsi" w:cstheme="majorHAnsi"/>
        <w:noProof/>
        <w:sz w:val="22"/>
        <w:szCs w:val="22"/>
      </w:rPr>
      <w:t>2</w:t>
    </w:r>
    <w:r w:rsidRPr="00F67944">
      <w:rPr>
        <w:rFonts w:asciiTheme="majorHAnsi" w:hAnsiTheme="majorHAnsi" w:cstheme="maj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1447"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724D55B" wp14:editId="3B19EADC">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44B0A"/>
    <w:rsid w:val="00060D57"/>
    <w:rsid w:val="0007527C"/>
    <w:rsid w:val="0008373B"/>
    <w:rsid w:val="00084B39"/>
    <w:rsid w:val="000906C3"/>
    <w:rsid w:val="00092CED"/>
    <w:rsid w:val="00096D20"/>
    <w:rsid w:val="000A31C9"/>
    <w:rsid w:val="000C54EE"/>
    <w:rsid w:val="000D12EA"/>
    <w:rsid w:val="000D257E"/>
    <w:rsid w:val="000D4C11"/>
    <w:rsid w:val="000F61BB"/>
    <w:rsid w:val="00111CA4"/>
    <w:rsid w:val="00121889"/>
    <w:rsid w:val="001253E9"/>
    <w:rsid w:val="001333C7"/>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2D75"/>
    <w:rsid w:val="002B4C49"/>
    <w:rsid w:val="002B52C0"/>
    <w:rsid w:val="002B7D7C"/>
    <w:rsid w:val="002C1659"/>
    <w:rsid w:val="002F1B73"/>
    <w:rsid w:val="002F2DFC"/>
    <w:rsid w:val="00314EF3"/>
    <w:rsid w:val="00323BD9"/>
    <w:rsid w:val="00326374"/>
    <w:rsid w:val="00335088"/>
    <w:rsid w:val="00350922"/>
    <w:rsid w:val="00350E79"/>
    <w:rsid w:val="00354602"/>
    <w:rsid w:val="00362EF7"/>
    <w:rsid w:val="0036343E"/>
    <w:rsid w:val="00363F93"/>
    <w:rsid w:val="00383891"/>
    <w:rsid w:val="00396599"/>
    <w:rsid w:val="003B4AC3"/>
    <w:rsid w:val="003D3A58"/>
    <w:rsid w:val="003E7E92"/>
    <w:rsid w:val="003F4022"/>
    <w:rsid w:val="00407552"/>
    <w:rsid w:val="00413F2A"/>
    <w:rsid w:val="00440091"/>
    <w:rsid w:val="00452B50"/>
    <w:rsid w:val="00462B9F"/>
    <w:rsid w:val="0046608A"/>
    <w:rsid w:val="00482684"/>
    <w:rsid w:val="004915FE"/>
    <w:rsid w:val="004B392D"/>
    <w:rsid w:val="004B5A0A"/>
    <w:rsid w:val="004D36A3"/>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4F9B"/>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2E06"/>
    <w:rsid w:val="006A7679"/>
    <w:rsid w:val="006B4413"/>
    <w:rsid w:val="006C6396"/>
    <w:rsid w:val="006C72CE"/>
    <w:rsid w:val="006D5D72"/>
    <w:rsid w:val="006E14EE"/>
    <w:rsid w:val="00700218"/>
    <w:rsid w:val="0070619D"/>
    <w:rsid w:val="00717437"/>
    <w:rsid w:val="00727516"/>
    <w:rsid w:val="00734946"/>
    <w:rsid w:val="00742667"/>
    <w:rsid w:val="007755F0"/>
    <w:rsid w:val="0078717D"/>
    <w:rsid w:val="00795922"/>
    <w:rsid w:val="007C44FC"/>
    <w:rsid w:val="007D2C2D"/>
    <w:rsid w:val="008125E6"/>
    <w:rsid w:val="00835799"/>
    <w:rsid w:val="00850E59"/>
    <w:rsid w:val="008556B9"/>
    <w:rsid w:val="0085661D"/>
    <w:rsid w:val="0087120C"/>
    <w:rsid w:val="00894E03"/>
    <w:rsid w:val="008A27F8"/>
    <w:rsid w:val="008B2132"/>
    <w:rsid w:val="008B37EB"/>
    <w:rsid w:val="008B7F36"/>
    <w:rsid w:val="008C552E"/>
    <w:rsid w:val="008D015E"/>
    <w:rsid w:val="008E358B"/>
    <w:rsid w:val="008E50AB"/>
    <w:rsid w:val="008E5967"/>
    <w:rsid w:val="00903178"/>
    <w:rsid w:val="00903D4F"/>
    <w:rsid w:val="00916CFE"/>
    <w:rsid w:val="00925BFC"/>
    <w:rsid w:val="0095389B"/>
    <w:rsid w:val="0095543A"/>
    <w:rsid w:val="00957747"/>
    <w:rsid w:val="00972647"/>
    <w:rsid w:val="00974A1B"/>
    <w:rsid w:val="00980D81"/>
    <w:rsid w:val="00995C59"/>
    <w:rsid w:val="00997648"/>
    <w:rsid w:val="009A320B"/>
    <w:rsid w:val="009A4F97"/>
    <w:rsid w:val="009C153C"/>
    <w:rsid w:val="009D26E3"/>
    <w:rsid w:val="009D788B"/>
    <w:rsid w:val="009E0FE7"/>
    <w:rsid w:val="009E4E2F"/>
    <w:rsid w:val="00A15341"/>
    <w:rsid w:val="00A229D4"/>
    <w:rsid w:val="00A41756"/>
    <w:rsid w:val="00A523B2"/>
    <w:rsid w:val="00A8789C"/>
    <w:rsid w:val="00AC5BCE"/>
    <w:rsid w:val="00AD29CC"/>
    <w:rsid w:val="00AE24DB"/>
    <w:rsid w:val="00B06B18"/>
    <w:rsid w:val="00B1353D"/>
    <w:rsid w:val="00B34514"/>
    <w:rsid w:val="00B402F1"/>
    <w:rsid w:val="00B52927"/>
    <w:rsid w:val="00B607F4"/>
    <w:rsid w:val="00B65874"/>
    <w:rsid w:val="00B74141"/>
    <w:rsid w:val="00B7543C"/>
    <w:rsid w:val="00B87286"/>
    <w:rsid w:val="00BB0243"/>
    <w:rsid w:val="00BD16F3"/>
    <w:rsid w:val="00BF222D"/>
    <w:rsid w:val="00BF6D8E"/>
    <w:rsid w:val="00C16F15"/>
    <w:rsid w:val="00C16FF4"/>
    <w:rsid w:val="00C369CF"/>
    <w:rsid w:val="00C55E7D"/>
    <w:rsid w:val="00C91D2F"/>
    <w:rsid w:val="00C92F25"/>
    <w:rsid w:val="00C930CF"/>
    <w:rsid w:val="00C9558C"/>
    <w:rsid w:val="00C96C96"/>
    <w:rsid w:val="00CB748C"/>
    <w:rsid w:val="00CC0521"/>
    <w:rsid w:val="00CC21C5"/>
    <w:rsid w:val="00CD6E55"/>
    <w:rsid w:val="00CE1A56"/>
    <w:rsid w:val="00CE7AC3"/>
    <w:rsid w:val="00D0219C"/>
    <w:rsid w:val="00D02C2A"/>
    <w:rsid w:val="00D23C98"/>
    <w:rsid w:val="00D30167"/>
    <w:rsid w:val="00D359AB"/>
    <w:rsid w:val="00D401F2"/>
    <w:rsid w:val="00D45457"/>
    <w:rsid w:val="00D479E7"/>
    <w:rsid w:val="00D6251F"/>
    <w:rsid w:val="00D63A75"/>
    <w:rsid w:val="00D7527B"/>
    <w:rsid w:val="00D80859"/>
    <w:rsid w:val="00D84AF8"/>
    <w:rsid w:val="00D852B3"/>
    <w:rsid w:val="00D9532B"/>
    <w:rsid w:val="00DA13E6"/>
    <w:rsid w:val="00DA6CB4"/>
    <w:rsid w:val="00DB5181"/>
    <w:rsid w:val="00DD0FDE"/>
    <w:rsid w:val="00DD49DE"/>
    <w:rsid w:val="00DD648D"/>
    <w:rsid w:val="00DF579F"/>
    <w:rsid w:val="00E03842"/>
    <w:rsid w:val="00E142BF"/>
    <w:rsid w:val="00E31F3B"/>
    <w:rsid w:val="00E40E2B"/>
    <w:rsid w:val="00E43AB7"/>
    <w:rsid w:val="00E71D54"/>
    <w:rsid w:val="00E80D92"/>
    <w:rsid w:val="00E81B46"/>
    <w:rsid w:val="00E865D6"/>
    <w:rsid w:val="00E87038"/>
    <w:rsid w:val="00EB1379"/>
    <w:rsid w:val="00EB444B"/>
    <w:rsid w:val="00ED3823"/>
    <w:rsid w:val="00F10B67"/>
    <w:rsid w:val="00F258F9"/>
    <w:rsid w:val="00F26034"/>
    <w:rsid w:val="00F4622D"/>
    <w:rsid w:val="00F47CA5"/>
    <w:rsid w:val="00F61EC1"/>
    <w:rsid w:val="00F67944"/>
    <w:rsid w:val="00F77C15"/>
    <w:rsid w:val="00F8139F"/>
    <w:rsid w:val="00F8304C"/>
    <w:rsid w:val="00FA20E1"/>
    <w:rsid w:val="00FA346C"/>
    <w:rsid w:val="00FB25D6"/>
    <w:rsid w:val="00FB30FA"/>
    <w:rsid w:val="00FE4143"/>
    <w:rsid w:val="00FE46A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03CEA"/>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 w:type="paragraph" w:styleId="StandardWeb">
    <w:name w:val="Normal (Web)"/>
    <w:basedOn w:val="Standard"/>
    <w:uiPriority w:val="99"/>
    <w:semiHidden/>
    <w:unhideWhenUsed/>
    <w:rsid w:val="00C369CF"/>
    <w:rPr>
      <w:rFonts w:ascii="Times New Roman" w:hAnsi="Times New Roman" w:cs="Times New Roman"/>
    </w:rPr>
  </w:style>
  <w:style w:type="paragraph" w:styleId="berarbeitung">
    <w:name w:val="Revision"/>
    <w:hidden/>
    <w:uiPriority w:val="99"/>
    <w:semiHidden/>
    <w:rsid w:val="003F40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8086">
      <w:bodyDiv w:val="1"/>
      <w:marLeft w:val="0"/>
      <w:marRight w:val="0"/>
      <w:marTop w:val="0"/>
      <w:marBottom w:val="0"/>
      <w:divBdr>
        <w:top w:val="none" w:sz="0" w:space="0" w:color="auto"/>
        <w:left w:val="none" w:sz="0" w:space="0" w:color="auto"/>
        <w:bottom w:val="none" w:sz="0" w:space="0" w:color="auto"/>
        <w:right w:val="none" w:sz="0" w:space="0" w:color="auto"/>
      </w:divBdr>
    </w:div>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34007485">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074813893">
      <w:bodyDiv w:val="1"/>
      <w:marLeft w:val="0"/>
      <w:marRight w:val="0"/>
      <w:marTop w:val="0"/>
      <w:marBottom w:val="0"/>
      <w:divBdr>
        <w:top w:val="none" w:sz="0" w:space="0" w:color="auto"/>
        <w:left w:val="none" w:sz="0" w:space="0" w:color="auto"/>
        <w:bottom w:val="none" w:sz="0" w:space="0" w:color="auto"/>
        <w:right w:val="none" w:sz="0" w:space="0" w:color="auto"/>
      </w:divBdr>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039870">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445466149">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1404-5E04-4BF7-B869-2546C33F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6</cp:revision>
  <cp:lastPrinted>2018-11-30T09:23:00Z</cp:lastPrinted>
  <dcterms:created xsi:type="dcterms:W3CDTF">2025-06-30T16:41:00Z</dcterms:created>
  <dcterms:modified xsi:type="dcterms:W3CDTF">2025-07-01T08:24:00Z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